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C0" w:rsidRDefault="001F46B9">
      <w:pPr>
        <w:spacing w:line="360" w:lineRule="auto"/>
        <w:jc w:val="both"/>
      </w:pPr>
      <w:r>
        <w:rPr>
          <w:noProof/>
          <w:lang w:val="es-NI" w:eastAsia="es-NI" w:bidi="ar-SA"/>
        </w:rPr>
        <w:drawing>
          <wp:anchor distT="0" distB="0" distL="0" distR="0" simplePos="0" relativeHeight="2" behindDoc="0" locked="0" layoutInCell="1" allowOverlap="1">
            <wp:simplePos x="0" y="0"/>
            <wp:positionH relativeFrom="column">
              <wp:posOffset>2364740</wp:posOffset>
            </wp:positionH>
            <wp:positionV relativeFrom="paragraph">
              <wp:posOffset>-478790</wp:posOffset>
            </wp:positionV>
            <wp:extent cx="1659890" cy="58674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659890" cy="586740"/>
                    </a:xfrm>
                    <a:prstGeom prst="rect">
                      <a:avLst/>
                    </a:prstGeom>
                    <a:noFill/>
                    <a:ln w="9525">
                      <a:noFill/>
                      <a:miter lim="800000"/>
                      <a:headEnd/>
                      <a:tailEnd/>
                    </a:ln>
                  </pic:spPr>
                </pic:pic>
              </a:graphicData>
            </a:graphic>
          </wp:anchor>
        </w:drawing>
      </w:r>
      <w:r>
        <w:rPr>
          <w:rFonts w:ascii="Arial" w:hAnsi="Arial"/>
          <w:color w:val="000000"/>
        </w:rPr>
        <w:t xml:space="preserve"> </w:t>
      </w:r>
    </w:p>
    <w:p w:rsidR="00F04BC0" w:rsidRDefault="00F04BC0">
      <w:pPr>
        <w:pStyle w:val="Predeterminado"/>
        <w:spacing w:after="0" w:line="360" w:lineRule="auto"/>
        <w:jc w:val="both"/>
        <w:rPr>
          <w:rFonts w:cs="Arial"/>
        </w:rPr>
      </w:pPr>
    </w:p>
    <w:p w:rsidR="00F04BC0" w:rsidRDefault="00F04BC0">
      <w:pPr>
        <w:spacing w:line="360" w:lineRule="auto"/>
        <w:jc w:val="both"/>
        <w:rPr>
          <w:rFonts w:ascii="Arial" w:eastAsia="Times New Roman" w:hAnsi="Arial" w:cs="Times New Roman"/>
          <w:lang w:eastAsia="es-ES"/>
        </w:rPr>
      </w:pPr>
    </w:p>
    <w:p w:rsidR="004F62D9" w:rsidRDefault="004F62D9">
      <w:pPr>
        <w:spacing w:line="360" w:lineRule="auto"/>
        <w:jc w:val="both"/>
        <w:rPr>
          <w:rFonts w:ascii="Arial" w:eastAsia="Times New Roman" w:hAnsi="Arial" w:cs="Times New Roman"/>
          <w:lang w:eastAsia="es-ES"/>
        </w:rPr>
      </w:pPr>
      <w:r>
        <w:rPr>
          <w:rFonts w:ascii="Arial" w:eastAsia="Times New Roman" w:hAnsi="Arial" w:cs="Times New Roman"/>
          <w:lang w:eastAsia="es-ES"/>
        </w:rPr>
        <w:t xml:space="preserve">A lo largo de la última década la industria de telecomunicación que por lo regular estaban igualmente en la de contenido tenía </w:t>
      </w:r>
      <w:r w:rsidR="0057408F">
        <w:rPr>
          <w:rFonts w:ascii="Arial" w:eastAsia="Times New Roman" w:hAnsi="Arial" w:cs="Times New Roman"/>
          <w:lang w:eastAsia="es-ES"/>
        </w:rPr>
        <w:t>monopolios exclusivos en muchos</w:t>
      </w:r>
      <w:r>
        <w:rPr>
          <w:rFonts w:ascii="Arial" w:eastAsia="Times New Roman" w:hAnsi="Arial" w:cs="Times New Roman"/>
          <w:lang w:eastAsia="es-ES"/>
        </w:rPr>
        <w:t xml:space="preserve"> países, desde infraestructuras tanto física como de espectros, transmisión y contenidos.</w:t>
      </w:r>
    </w:p>
    <w:p w:rsidR="004F62D9" w:rsidRDefault="004F62D9">
      <w:pPr>
        <w:spacing w:line="360" w:lineRule="auto"/>
        <w:jc w:val="both"/>
        <w:rPr>
          <w:rFonts w:ascii="Arial" w:eastAsia="Times New Roman" w:hAnsi="Arial" w:cs="Times New Roman"/>
          <w:lang w:eastAsia="es-ES"/>
        </w:rPr>
      </w:pPr>
    </w:p>
    <w:p w:rsidR="004F62D9" w:rsidRDefault="004F62D9">
      <w:pPr>
        <w:spacing w:line="360" w:lineRule="auto"/>
        <w:jc w:val="both"/>
        <w:rPr>
          <w:rFonts w:ascii="Arial" w:eastAsia="Times New Roman" w:hAnsi="Arial" w:cs="Times New Roman"/>
          <w:lang w:eastAsia="es-ES"/>
        </w:rPr>
      </w:pPr>
      <w:r>
        <w:rPr>
          <w:rFonts w:ascii="Arial" w:eastAsia="Times New Roman" w:hAnsi="Arial" w:cs="Times New Roman"/>
          <w:lang w:eastAsia="es-ES"/>
        </w:rPr>
        <w:t>Con la llegada del internet se da inicio a una liberación de la industria por medio de diferentes opciones tanto de voz, texto y contenido que implico innovación y crecimiento de manera transversal en todas las industrias que necesitaban competir en este mercado hiperconectado.</w:t>
      </w:r>
    </w:p>
    <w:p w:rsidR="004F62D9" w:rsidRDefault="004F62D9">
      <w:pPr>
        <w:spacing w:line="360" w:lineRule="auto"/>
        <w:jc w:val="both"/>
        <w:rPr>
          <w:rFonts w:ascii="Arial" w:eastAsia="Times New Roman" w:hAnsi="Arial" w:cs="Times New Roman"/>
          <w:lang w:eastAsia="es-ES"/>
        </w:rPr>
      </w:pPr>
    </w:p>
    <w:p w:rsidR="004F62D9" w:rsidRDefault="004F62D9">
      <w:pPr>
        <w:spacing w:line="360" w:lineRule="auto"/>
        <w:jc w:val="both"/>
        <w:rPr>
          <w:rFonts w:ascii="Arial" w:eastAsia="Times New Roman" w:hAnsi="Arial" w:cs="Times New Roman"/>
          <w:lang w:eastAsia="es-ES"/>
        </w:rPr>
      </w:pPr>
      <w:r>
        <w:rPr>
          <w:rFonts w:ascii="Arial" w:eastAsia="Times New Roman" w:hAnsi="Arial" w:cs="Times New Roman"/>
          <w:lang w:eastAsia="es-ES"/>
        </w:rPr>
        <w:t>Algunas de las implicaciones de las OTT</w:t>
      </w:r>
    </w:p>
    <w:p w:rsidR="004F62D9" w:rsidRDefault="004F62D9" w:rsidP="004F62D9">
      <w:pPr>
        <w:pStyle w:val="Prrafodelista"/>
        <w:numPr>
          <w:ilvl w:val="0"/>
          <w:numId w:val="1"/>
        </w:numPr>
        <w:spacing w:line="360" w:lineRule="auto"/>
        <w:jc w:val="both"/>
        <w:rPr>
          <w:rFonts w:ascii="Arial" w:eastAsia="Times New Roman" w:hAnsi="Arial" w:cs="Times New Roman"/>
          <w:lang w:eastAsia="es-ES"/>
        </w:rPr>
      </w:pPr>
      <w:r w:rsidRPr="004F62D9">
        <w:rPr>
          <w:rFonts w:ascii="Arial" w:eastAsia="Times New Roman" w:hAnsi="Arial" w:cs="Times New Roman"/>
          <w:lang w:eastAsia="es-ES"/>
        </w:rPr>
        <w:t>Aumento de la competencia y la mejora de precios y servicios</w:t>
      </w:r>
      <w:r>
        <w:rPr>
          <w:rFonts w:ascii="Arial" w:eastAsia="Times New Roman" w:hAnsi="Arial" w:cs="Times New Roman"/>
          <w:lang w:eastAsia="es-ES"/>
        </w:rPr>
        <w:t>.</w:t>
      </w:r>
      <w:r w:rsidRPr="004F62D9">
        <w:rPr>
          <w:rFonts w:ascii="Arial" w:eastAsia="Times New Roman" w:hAnsi="Arial" w:cs="Times New Roman"/>
          <w:lang w:eastAsia="es-ES"/>
        </w:rPr>
        <w:t xml:space="preserve"> </w:t>
      </w:r>
    </w:p>
    <w:p w:rsidR="004F62D9" w:rsidRDefault="004F62D9" w:rsidP="004F62D9">
      <w:pPr>
        <w:pStyle w:val="Prrafodelista"/>
        <w:numPr>
          <w:ilvl w:val="0"/>
          <w:numId w:val="1"/>
        </w:numPr>
        <w:spacing w:line="360" w:lineRule="auto"/>
        <w:jc w:val="both"/>
        <w:rPr>
          <w:rFonts w:ascii="Arial" w:eastAsia="Times New Roman" w:hAnsi="Arial" w:cs="Times New Roman"/>
          <w:lang w:eastAsia="es-ES"/>
        </w:rPr>
      </w:pPr>
      <w:r>
        <w:rPr>
          <w:rFonts w:ascii="Arial" w:eastAsia="Times New Roman" w:hAnsi="Arial" w:cs="Times New Roman"/>
          <w:lang w:eastAsia="es-ES"/>
        </w:rPr>
        <w:t>Diversificación de plataformas para los contenidos.</w:t>
      </w:r>
    </w:p>
    <w:p w:rsidR="004F62D9" w:rsidRDefault="004F62D9" w:rsidP="004F62D9">
      <w:pPr>
        <w:pStyle w:val="Prrafodelista"/>
        <w:numPr>
          <w:ilvl w:val="0"/>
          <w:numId w:val="1"/>
        </w:numPr>
        <w:spacing w:line="360" w:lineRule="auto"/>
        <w:jc w:val="both"/>
        <w:rPr>
          <w:rFonts w:ascii="Arial" w:eastAsia="Times New Roman" w:hAnsi="Arial" w:cs="Times New Roman"/>
          <w:lang w:eastAsia="es-ES"/>
        </w:rPr>
      </w:pPr>
      <w:r>
        <w:rPr>
          <w:rFonts w:ascii="Arial" w:eastAsia="Times New Roman" w:hAnsi="Arial" w:cs="Times New Roman"/>
          <w:lang w:eastAsia="es-ES"/>
        </w:rPr>
        <w:t xml:space="preserve">Opción de consumidores con productos de mejor calidad. </w:t>
      </w:r>
    </w:p>
    <w:p w:rsidR="004F62D9" w:rsidRDefault="004F62D9" w:rsidP="004F62D9">
      <w:pPr>
        <w:pStyle w:val="Prrafodelista"/>
        <w:numPr>
          <w:ilvl w:val="0"/>
          <w:numId w:val="1"/>
        </w:numPr>
        <w:spacing w:line="360" w:lineRule="auto"/>
        <w:jc w:val="both"/>
        <w:rPr>
          <w:rFonts w:ascii="Arial" w:eastAsia="Times New Roman" w:hAnsi="Arial" w:cs="Times New Roman"/>
          <w:lang w:eastAsia="es-ES"/>
        </w:rPr>
      </w:pPr>
      <w:r>
        <w:rPr>
          <w:rFonts w:ascii="Arial" w:eastAsia="Times New Roman" w:hAnsi="Arial" w:cs="Times New Roman"/>
          <w:lang w:eastAsia="es-ES"/>
        </w:rPr>
        <w:t>Mayor neutralidad en la red.</w:t>
      </w:r>
    </w:p>
    <w:p w:rsidR="004F62D9" w:rsidRDefault="004F62D9" w:rsidP="004F62D9">
      <w:pPr>
        <w:pStyle w:val="Prrafodelista"/>
        <w:spacing w:line="360" w:lineRule="auto"/>
        <w:jc w:val="both"/>
        <w:rPr>
          <w:rFonts w:ascii="Arial" w:eastAsia="Times New Roman" w:hAnsi="Arial" w:cs="Times New Roman"/>
          <w:lang w:eastAsia="es-ES"/>
        </w:rPr>
      </w:pPr>
    </w:p>
    <w:p w:rsidR="004F62D9" w:rsidRDefault="004F62D9">
      <w:pPr>
        <w:spacing w:line="360" w:lineRule="auto"/>
        <w:jc w:val="both"/>
        <w:rPr>
          <w:rFonts w:ascii="Arial" w:eastAsia="Times New Roman" w:hAnsi="Arial" w:cs="Times New Roman"/>
          <w:szCs w:val="21"/>
          <w:lang w:eastAsia="es-ES"/>
        </w:rPr>
      </w:pPr>
      <w:r>
        <w:rPr>
          <w:rFonts w:ascii="Arial" w:eastAsia="Times New Roman" w:hAnsi="Arial" w:cs="Times New Roman"/>
          <w:szCs w:val="21"/>
          <w:lang w:eastAsia="es-ES"/>
        </w:rPr>
        <w:t>En este llamad</w:t>
      </w:r>
      <w:r w:rsidR="005D35E7">
        <w:rPr>
          <w:rFonts w:ascii="Arial" w:eastAsia="Times New Roman" w:hAnsi="Arial" w:cs="Times New Roman"/>
          <w:szCs w:val="21"/>
          <w:lang w:eastAsia="es-ES"/>
        </w:rPr>
        <w:t xml:space="preserve">o a consulta de OTT queremos establecer una </w:t>
      </w:r>
      <w:r w:rsidR="0057408F">
        <w:rPr>
          <w:rFonts w:ascii="Arial" w:eastAsia="Times New Roman" w:hAnsi="Arial" w:cs="Times New Roman"/>
          <w:szCs w:val="21"/>
          <w:lang w:eastAsia="es-ES"/>
        </w:rPr>
        <w:t>posición sobre</w:t>
      </w:r>
      <w:r w:rsidR="005D35E7">
        <w:rPr>
          <w:rFonts w:ascii="Arial" w:eastAsia="Times New Roman" w:hAnsi="Arial" w:cs="Times New Roman"/>
          <w:szCs w:val="21"/>
          <w:lang w:eastAsia="es-ES"/>
        </w:rPr>
        <w:t xml:space="preserve"> tres elementos que consideramos vitales para la buena gobernanza y la neutralidad del internet.</w:t>
      </w:r>
    </w:p>
    <w:p w:rsidR="005D35E7" w:rsidRDefault="005D35E7">
      <w:pPr>
        <w:spacing w:line="360" w:lineRule="auto"/>
        <w:jc w:val="both"/>
        <w:rPr>
          <w:rFonts w:ascii="Arial" w:eastAsia="Times New Roman" w:hAnsi="Arial" w:cs="Times New Roman"/>
          <w:szCs w:val="21"/>
          <w:lang w:eastAsia="es-ES"/>
        </w:rPr>
      </w:pPr>
      <w:r>
        <w:rPr>
          <w:rFonts w:ascii="Arial" w:eastAsia="Times New Roman" w:hAnsi="Arial" w:cs="Times New Roman"/>
          <w:szCs w:val="21"/>
          <w:lang w:eastAsia="es-ES"/>
        </w:rPr>
        <w:t>Estos elementos son:</w:t>
      </w:r>
    </w:p>
    <w:p w:rsidR="005D35E7" w:rsidRDefault="005D35E7">
      <w:pPr>
        <w:spacing w:line="360" w:lineRule="auto"/>
        <w:jc w:val="both"/>
        <w:rPr>
          <w:rFonts w:ascii="Arial" w:eastAsia="Times New Roman" w:hAnsi="Arial" w:cs="Times New Roman"/>
          <w:szCs w:val="21"/>
          <w:lang w:eastAsia="es-ES"/>
        </w:rPr>
      </w:pPr>
    </w:p>
    <w:p w:rsidR="004F62D9" w:rsidRDefault="005D35E7" w:rsidP="005D35E7">
      <w:pPr>
        <w:spacing w:line="360" w:lineRule="auto"/>
        <w:jc w:val="both"/>
        <w:rPr>
          <w:rFonts w:ascii="Arial" w:eastAsia="Times New Roman" w:hAnsi="Arial" w:cs="Times New Roman"/>
          <w:szCs w:val="21"/>
          <w:lang w:eastAsia="es-ES"/>
        </w:rPr>
      </w:pPr>
      <w:r>
        <w:rPr>
          <w:rFonts w:ascii="Arial" w:eastAsia="Times New Roman" w:hAnsi="Arial" w:cs="Times New Roman"/>
          <w:szCs w:val="21"/>
          <w:lang w:eastAsia="es-ES"/>
        </w:rPr>
        <w:t xml:space="preserve">Level Field Player: al ser la aplicaciones OTT una industria muy distinta y totalmente separada desde la perspectiva de negocio de no puede ser regulada de la misma manera. </w:t>
      </w:r>
    </w:p>
    <w:p w:rsidR="005D35E7" w:rsidRDefault="005D35E7" w:rsidP="005D35E7">
      <w:pPr>
        <w:spacing w:line="360" w:lineRule="auto"/>
        <w:jc w:val="both"/>
        <w:rPr>
          <w:rFonts w:ascii="Arial" w:eastAsia="Times New Roman" w:hAnsi="Arial" w:cs="Times New Roman"/>
          <w:szCs w:val="21"/>
          <w:lang w:eastAsia="es-ES"/>
        </w:rPr>
      </w:pPr>
      <w:r>
        <w:rPr>
          <w:rFonts w:ascii="Arial" w:eastAsia="Times New Roman" w:hAnsi="Arial" w:cs="Times New Roman"/>
          <w:szCs w:val="21"/>
          <w:lang w:eastAsia="es-ES"/>
        </w:rPr>
        <w:t xml:space="preserve">En primera instancias los operadores que a su vez cuentan con la infraestructura son coposesiones de bienes públicos </w:t>
      </w:r>
      <w:r w:rsidR="0057408F">
        <w:rPr>
          <w:rFonts w:ascii="Arial" w:eastAsia="Times New Roman" w:hAnsi="Arial" w:cs="Times New Roman"/>
          <w:szCs w:val="21"/>
          <w:lang w:eastAsia="es-ES"/>
        </w:rPr>
        <w:t>como los espectros y las frecuencias. Los reguladores deben velar que estos actores no abusen de sus privilegios, de manera que le nieguen al usuario final la libertad de elegir el contenido o el uso que mejor le convenga al servicio que es un bien público concesionado.</w:t>
      </w:r>
    </w:p>
    <w:p w:rsidR="0057408F" w:rsidRDefault="0057408F" w:rsidP="005D35E7">
      <w:pPr>
        <w:spacing w:line="360" w:lineRule="auto"/>
        <w:jc w:val="both"/>
        <w:rPr>
          <w:rFonts w:ascii="Arial" w:eastAsia="Times New Roman" w:hAnsi="Arial" w:cs="Times New Roman"/>
          <w:szCs w:val="21"/>
          <w:lang w:eastAsia="es-ES"/>
        </w:rPr>
      </w:pPr>
    </w:p>
    <w:p w:rsidR="0057408F" w:rsidRDefault="0057408F" w:rsidP="005D35E7">
      <w:pPr>
        <w:spacing w:line="360" w:lineRule="auto"/>
        <w:jc w:val="both"/>
        <w:rPr>
          <w:rFonts w:ascii="Arial" w:eastAsia="Times New Roman" w:hAnsi="Arial" w:cs="Times New Roman"/>
          <w:szCs w:val="21"/>
          <w:lang w:eastAsia="es-ES"/>
        </w:rPr>
      </w:pPr>
      <w:r>
        <w:rPr>
          <w:rFonts w:ascii="Arial" w:eastAsia="Times New Roman" w:hAnsi="Arial" w:cs="Times New Roman"/>
          <w:szCs w:val="21"/>
          <w:lang w:eastAsia="es-ES"/>
        </w:rPr>
        <w:t xml:space="preserve">Free Ride: Concepto que debe revisarse con de manera objetiva ya que, según la conceptualización el usuario utiliza las infraestructuras actuales de manera gratuita, lo cual es totalmente falso ya que todos los usuarios con acceso paga por el uso de la infraestructura </w:t>
      </w:r>
      <w:r>
        <w:rPr>
          <w:rFonts w:ascii="Arial" w:eastAsia="Times New Roman" w:hAnsi="Arial" w:cs="Times New Roman"/>
          <w:szCs w:val="21"/>
          <w:lang w:eastAsia="es-ES"/>
        </w:rPr>
        <w:lastRenderedPageBreak/>
        <w:t xml:space="preserve">desde los diferentes planes de servicio donde muchas veces no recibe por lo que paga. </w:t>
      </w:r>
    </w:p>
    <w:p w:rsidR="0057408F" w:rsidRDefault="0057408F" w:rsidP="005D35E7">
      <w:pPr>
        <w:spacing w:line="360" w:lineRule="auto"/>
        <w:jc w:val="both"/>
        <w:rPr>
          <w:rFonts w:ascii="Arial" w:eastAsia="Times New Roman" w:hAnsi="Arial" w:cs="Times New Roman"/>
          <w:szCs w:val="21"/>
          <w:lang w:eastAsia="es-ES"/>
        </w:rPr>
      </w:pPr>
    </w:p>
    <w:p w:rsidR="0057408F" w:rsidRDefault="0057408F" w:rsidP="00101E90">
      <w:pPr>
        <w:spacing w:line="360" w:lineRule="auto"/>
        <w:jc w:val="both"/>
        <w:rPr>
          <w:rFonts w:ascii="Arial" w:hAnsi="Arial" w:cs="Arial"/>
        </w:rPr>
      </w:pPr>
      <w:r>
        <w:rPr>
          <w:rFonts w:ascii="Arial" w:eastAsia="Times New Roman" w:hAnsi="Arial" w:cs="Times New Roman"/>
          <w:szCs w:val="21"/>
          <w:lang w:eastAsia="es-ES"/>
        </w:rPr>
        <w:t xml:space="preserve">Same services </w:t>
      </w:r>
      <w:r w:rsidR="00696626">
        <w:rPr>
          <w:rFonts w:ascii="Arial" w:eastAsia="Times New Roman" w:hAnsi="Arial" w:cs="Times New Roman"/>
          <w:szCs w:val="21"/>
          <w:lang w:eastAsia="es-ES"/>
        </w:rPr>
        <w:t xml:space="preserve">sames rules: </w:t>
      </w:r>
      <w:r w:rsidR="00101E90" w:rsidRPr="00101E90">
        <w:rPr>
          <w:rFonts w:ascii="Arial" w:hAnsi="Arial" w:cs="Arial"/>
        </w:rPr>
        <w:t xml:space="preserve">Las </w:t>
      </w:r>
      <w:r w:rsidR="00101E90" w:rsidRPr="00101E90">
        <w:rPr>
          <w:rFonts w:ascii="Arial" w:hAnsi="Arial" w:cs="Arial"/>
        </w:rPr>
        <w:t>OTT siguen siendo compleme</w:t>
      </w:r>
      <w:r w:rsidR="00101E90" w:rsidRPr="00101E90">
        <w:rPr>
          <w:rFonts w:ascii="Arial" w:hAnsi="Arial" w:cs="Arial"/>
        </w:rPr>
        <w:t>ntarias</w:t>
      </w:r>
      <w:r w:rsidR="00101E90" w:rsidRPr="00101E90">
        <w:rPr>
          <w:rFonts w:ascii="Arial" w:hAnsi="Arial" w:cs="Arial"/>
        </w:rPr>
        <w:t xml:space="preserve"> de</w:t>
      </w:r>
      <w:r w:rsidR="00101E90">
        <w:rPr>
          <w:rFonts w:ascii="Arial" w:hAnsi="Arial" w:cs="Arial"/>
        </w:rPr>
        <w:t xml:space="preserve"> los servicios</w:t>
      </w:r>
      <w:r w:rsidR="00101E90" w:rsidRPr="00101E90">
        <w:rPr>
          <w:rFonts w:ascii="Arial" w:hAnsi="Arial" w:cs="Arial"/>
        </w:rPr>
        <w:t xml:space="preserve"> existentes provistos por los operadores de red y radiodifusores. Además, los OTTs no </w:t>
      </w:r>
      <w:r w:rsidR="00101E90">
        <w:rPr>
          <w:rFonts w:ascii="Arial" w:hAnsi="Arial" w:cs="Arial"/>
        </w:rPr>
        <w:t xml:space="preserve">tienen las estructuras para poder de manera </w:t>
      </w:r>
      <w:r w:rsidR="00101E90" w:rsidRPr="00101E90">
        <w:rPr>
          <w:rFonts w:ascii="Arial" w:hAnsi="Arial" w:cs="Arial"/>
        </w:rPr>
        <w:t>vertical</w:t>
      </w:r>
      <w:r w:rsidR="00101E90">
        <w:rPr>
          <w:rFonts w:ascii="Arial" w:hAnsi="Arial" w:cs="Arial"/>
        </w:rPr>
        <w:t xml:space="preserve"> otros servicios </w:t>
      </w:r>
      <w:r w:rsidR="00101E90" w:rsidRPr="00101E90">
        <w:rPr>
          <w:rFonts w:ascii="Arial" w:hAnsi="Arial" w:cs="Arial"/>
        </w:rPr>
        <w:t xml:space="preserve">que </w:t>
      </w:r>
      <w:r w:rsidR="00101E90">
        <w:rPr>
          <w:rFonts w:ascii="Arial" w:hAnsi="Arial" w:cs="Arial"/>
        </w:rPr>
        <w:t xml:space="preserve">poseen </w:t>
      </w:r>
      <w:r w:rsidR="00101E90" w:rsidRPr="00101E90">
        <w:rPr>
          <w:rFonts w:ascii="Arial" w:hAnsi="Arial" w:cs="Arial"/>
        </w:rPr>
        <w:t>los</w:t>
      </w:r>
      <w:r w:rsidR="00101E90" w:rsidRPr="00101E90">
        <w:rPr>
          <w:rFonts w:ascii="Arial" w:hAnsi="Arial" w:cs="Arial"/>
        </w:rPr>
        <w:t xml:space="preserve"> operadores de red. </w:t>
      </w:r>
    </w:p>
    <w:p w:rsidR="00101E90" w:rsidRDefault="00101E90" w:rsidP="00101E90">
      <w:pPr>
        <w:spacing w:line="360" w:lineRule="auto"/>
        <w:jc w:val="both"/>
        <w:rPr>
          <w:rFonts w:ascii="Arial" w:hAnsi="Arial" w:cs="Arial"/>
        </w:rPr>
      </w:pPr>
    </w:p>
    <w:p w:rsidR="00101E90" w:rsidRDefault="00101E90" w:rsidP="00101E90">
      <w:pPr>
        <w:spacing w:line="360" w:lineRule="auto"/>
        <w:jc w:val="both"/>
        <w:rPr>
          <w:rFonts w:ascii="Arial" w:hAnsi="Arial" w:cs="Arial"/>
        </w:rPr>
      </w:pPr>
      <w:r>
        <w:rPr>
          <w:rFonts w:ascii="Arial" w:hAnsi="Arial" w:cs="Arial"/>
        </w:rPr>
        <w:t>Conclusión.</w:t>
      </w:r>
    </w:p>
    <w:p w:rsidR="00101E90" w:rsidRDefault="00101E90" w:rsidP="00101E90">
      <w:pPr>
        <w:spacing w:line="360" w:lineRule="auto"/>
        <w:jc w:val="both"/>
        <w:rPr>
          <w:rFonts w:ascii="Arial" w:hAnsi="Arial" w:cs="Arial"/>
        </w:rPr>
      </w:pPr>
    </w:p>
    <w:p w:rsidR="00101E90" w:rsidRDefault="00101E90" w:rsidP="00101E90">
      <w:pPr>
        <w:spacing w:line="360" w:lineRule="auto"/>
        <w:jc w:val="both"/>
        <w:rPr>
          <w:rFonts w:ascii="Arial" w:hAnsi="Arial" w:cs="Arial"/>
        </w:rPr>
      </w:pPr>
      <w:r>
        <w:rPr>
          <w:rFonts w:ascii="Arial" w:hAnsi="Arial" w:cs="Arial"/>
        </w:rPr>
        <w:t xml:space="preserve">OTT y los proveedores de servicios son totalmente diferentes desde el nivel de mercado hasta en su componente más técnico de infraestructura y desarrollo y los cuales pueden estra en un ecosistema de innovación de manera complementaria y por lo tanto las implicaciones de regulación no pueden ser las mismas. </w:t>
      </w:r>
      <w:bookmarkStart w:id="0" w:name="_GoBack"/>
      <w:bookmarkEnd w:id="0"/>
    </w:p>
    <w:p w:rsidR="00101E90" w:rsidRPr="00101E90" w:rsidRDefault="00101E90" w:rsidP="00101E90">
      <w:pPr>
        <w:spacing w:line="360" w:lineRule="auto"/>
        <w:jc w:val="both"/>
        <w:rPr>
          <w:rFonts w:ascii="Arial" w:hAnsi="Arial" w:cs="Arial"/>
          <w:color w:val="000000"/>
          <w:lang w:val="es-PA"/>
        </w:rPr>
      </w:pPr>
    </w:p>
    <w:sectPr w:rsidR="00101E90" w:rsidRPr="00101E90">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B9" w:rsidRDefault="001F46B9">
      <w:r>
        <w:separator/>
      </w:r>
    </w:p>
  </w:endnote>
  <w:endnote w:type="continuationSeparator" w:id="0">
    <w:p w:rsidR="001F46B9" w:rsidRDefault="001F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B9" w:rsidRDefault="001F46B9"/>
  </w:footnote>
  <w:footnote w:type="continuationSeparator" w:id="0">
    <w:p w:rsidR="001F46B9" w:rsidRDefault="001F4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365AA"/>
    <w:multiLevelType w:val="hybridMultilevel"/>
    <w:tmpl w:val="E54071B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C0"/>
    <w:rsid w:val="00066039"/>
    <w:rsid w:val="00101E90"/>
    <w:rsid w:val="001F46B9"/>
    <w:rsid w:val="004F62D9"/>
    <w:rsid w:val="0057408F"/>
    <w:rsid w:val="005D35E7"/>
    <w:rsid w:val="00696626"/>
    <w:rsid w:val="00F04B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40916-6A2A-4B01-A1B4-070AB637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pPr>
    <w:rPr>
      <w:color w:val="00000A"/>
      <w:sz w:val="24"/>
    </w:rPr>
  </w:style>
  <w:style w:type="paragraph" w:styleId="Ttulo1">
    <w:name w:val="heading 1"/>
    <w:basedOn w:val="Heading"/>
    <w:qFormat/>
    <w:pPr>
      <w:outlineLvl w:val="0"/>
    </w:pPr>
    <w:rPr>
      <w:b/>
      <w:bCs/>
      <w:sz w:val="36"/>
      <w:szCs w:val="36"/>
    </w:rPr>
  </w:style>
  <w:style w:type="paragraph" w:styleId="Ttulo2">
    <w:name w:val="heading 2"/>
    <w:basedOn w:val="Heading"/>
    <w:qFormat/>
    <w:pPr>
      <w:spacing w:before="200"/>
      <w:outlineLvl w:val="1"/>
    </w:pPr>
    <w:rPr>
      <w:b/>
      <w:bCs/>
      <w:sz w:val="32"/>
      <w:szCs w:val="32"/>
    </w:rPr>
  </w:style>
  <w:style w:type="paragraph" w:styleId="Ttulo3">
    <w:name w:val="heading 3"/>
    <w:basedOn w:val="Heading"/>
    <w:qFormat/>
    <w:pPr>
      <w:spacing w:before="1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5">
    <w:name w:val="ListLabel 5"/>
    <w:qFormat/>
    <w:rPr>
      <w:rFonts w:ascii="Verdana" w:hAnsi="Verdana"/>
      <w:b/>
      <w:sz w:val="24"/>
      <w:u w:val="none"/>
    </w:rPr>
  </w:style>
  <w:style w:type="character" w:customStyle="1" w:styleId="InternetLink">
    <w:name w:val="Internet Link"/>
    <w:rPr>
      <w:color w:val="000080"/>
      <w:u w:val="single"/>
    </w:rPr>
  </w:style>
  <w:style w:type="character" w:customStyle="1" w:styleId="EnlacedeInternet">
    <w:name w:val="Enlace de Internet"/>
    <w:basedOn w:val="Fuentedeprrafopredeter"/>
    <w:qFormat/>
    <w:rPr>
      <w:color w:val="0000FF"/>
      <w:u w:val="single"/>
      <w:lang w:val="es-ES" w:eastAsia="es-ES" w:bidi="es-E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6">
    <w:name w:val="ListLabel 6"/>
    <w:qFormat/>
    <w:rPr>
      <w:rFonts w:ascii="Arial" w:hAnsi="Arial" w:cs="OpenSymbol"/>
      <w:b/>
      <w:sz w:val="24"/>
      <w:u w:val="none"/>
    </w:rPr>
  </w:style>
  <w:style w:type="character" w:customStyle="1" w:styleId="ListLabel7">
    <w:name w:val="ListLabel 7"/>
    <w:qFormat/>
    <w:rPr>
      <w:rFonts w:ascii="Arial" w:hAnsi="Arial" w:cs="Wingdings"/>
      <w:b/>
      <w:sz w:val="24"/>
      <w:u w:val="none"/>
    </w:rPr>
  </w:style>
  <w:style w:type="character" w:customStyle="1" w:styleId="ListLabel8">
    <w:name w:val="ListLabel 8"/>
    <w:qFormat/>
    <w:rPr>
      <w:rFonts w:cs="Wingdings 2"/>
      <w:b/>
      <w:sz w:val="24"/>
      <w:u w:val="none"/>
    </w:rPr>
  </w:style>
  <w:style w:type="character" w:customStyle="1" w:styleId="ListLabel9">
    <w:name w:val="ListLabel 9"/>
    <w:qFormat/>
    <w:rPr>
      <w:rFonts w:cs="Wingdings"/>
      <w:b/>
      <w:sz w:val="24"/>
      <w:u w:val="none"/>
    </w:rPr>
  </w:style>
  <w:style w:type="character" w:customStyle="1" w:styleId="ListLabel10">
    <w:name w:val="ListLabel 10"/>
    <w:qFormat/>
    <w:rPr>
      <w:rFonts w:cs="Wingdings 2"/>
      <w:b/>
      <w:sz w:val="24"/>
      <w:u w:val="none"/>
    </w:rPr>
  </w:style>
  <w:style w:type="character" w:customStyle="1" w:styleId="ListLabel11">
    <w:name w:val="ListLabel 11"/>
    <w:qFormat/>
    <w:rPr>
      <w:rFonts w:cs="OpenSymbol"/>
      <w:b/>
      <w:sz w:val="24"/>
      <w:u w:val="none"/>
    </w:rPr>
  </w:style>
  <w:style w:type="character" w:customStyle="1" w:styleId="StrongEmphasis">
    <w:name w:val="Strong Emphasis"/>
    <w:rPr>
      <w:b/>
      <w:bCs/>
    </w:rPr>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a">
    <w:name w:val="List"/>
    <w:basedOn w:val="TextBody"/>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Puesto">
    <w:name w:val="Title"/>
    <w:basedOn w:val="Heading"/>
    <w:qFormat/>
    <w:pPr>
      <w:jc w:val="center"/>
    </w:pPr>
    <w:rPr>
      <w:b/>
      <w:bCs/>
      <w:sz w:val="56"/>
      <w:szCs w:val="56"/>
    </w:rPr>
  </w:style>
  <w:style w:type="paragraph" w:styleId="Subttulo">
    <w:name w:val="Subtitle"/>
    <w:basedOn w:val="Heading"/>
    <w:qFormat/>
    <w:pPr>
      <w:spacing w:before="60"/>
      <w:jc w:val="center"/>
    </w:pPr>
    <w:rPr>
      <w:sz w:val="36"/>
      <w:szCs w:val="36"/>
    </w:rPr>
  </w:style>
  <w:style w:type="paragraph" w:customStyle="1" w:styleId="Predeterminado">
    <w:name w:val="Predeterminado"/>
    <w:qFormat/>
    <w:pPr>
      <w:suppressAutoHyphens/>
      <w:overflowPunct w:val="0"/>
      <w:spacing w:after="200" w:line="276" w:lineRule="auto"/>
    </w:pPr>
    <w:rPr>
      <w:rFonts w:ascii="Calibri" w:eastAsia="DejaVu Sans" w:hAnsi="Calibri" w:cs="Calibri"/>
      <w:color w:val="00000A"/>
      <w:sz w:val="24"/>
      <w:lang w:eastAsia="en-US"/>
    </w:rPr>
  </w:style>
  <w:style w:type="paragraph" w:styleId="NormalWeb">
    <w:name w:val="Normal (Web)"/>
    <w:basedOn w:val="Predeterminado"/>
    <w:qFormat/>
    <w:pPr>
      <w:spacing w:before="100" w:after="100" w:line="100" w:lineRule="atLeast"/>
    </w:pPr>
    <w:rPr>
      <w:rFonts w:ascii="Times New Roman" w:eastAsia="Times New Roman" w:hAnsi="Times New Roman" w:cs="Times New Roman"/>
      <w:lang w:eastAsia="es-ES"/>
    </w:rPr>
  </w:style>
  <w:style w:type="paragraph" w:customStyle="1" w:styleId="Footnote">
    <w:name w:val="Footnote"/>
    <w:basedOn w:val="Normal"/>
    <w:pPr>
      <w:suppressLineNumbers/>
      <w:ind w:left="339" w:hanging="339"/>
    </w:pPr>
    <w:rPr>
      <w:sz w:val="20"/>
      <w:szCs w:val="20"/>
    </w:rPr>
  </w:style>
  <w:style w:type="paragraph" w:styleId="Prrafodelista">
    <w:name w:val="List Paragraph"/>
    <w:basedOn w:val="Normal"/>
    <w:qFormat/>
    <w:pPr>
      <w:ind w:left="720"/>
      <w:contextualSpacing/>
    </w:pPr>
    <w:rPr>
      <w:rFonts w:cs="Mangal"/>
      <w:szCs w:val="21"/>
    </w:rPr>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7F954-B491-454E-97FB-D7DC34E0A0FB}"/>
</file>

<file path=customXml/itemProps2.xml><?xml version="1.0" encoding="utf-8"?>
<ds:datastoreItem xmlns:ds="http://schemas.openxmlformats.org/officeDocument/2006/customXml" ds:itemID="{BE72B3B6-4458-49EE-B2B8-695AB4BC6BCD}"/>
</file>

<file path=customXml/itemProps3.xml><?xml version="1.0" encoding="utf-8"?>
<ds:datastoreItem xmlns:ds="http://schemas.openxmlformats.org/officeDocument/2006/customXml" ds:itemID="{15F2B98B-F335-4DC1-9CBB-A211F619907C}"/>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Internet1</dc:creator>
  <cp:lastModifiedBy>Internet1</cp:lastModifiedBy>
  <cp:revision>7</cp:revision>
  <dcterms:created xsi:type="dcterms:W3CDTF">2017-08-26T18:22:00Z</dcterms:created>
  <dcterms:modified xsi:type="dcterms:W3CDTF">2017-08-26T18:31:00Z</dcterms:modified>
  <cp:contentStatus>Final</cp:contentStatus>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